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b/>
          <w:u w:val="single"/>
          <w:lang w:val="tr-TR"/>
        </w:rPr>
      </w:pPr>
      <w:r w:rsidRPr="007D0CBF">
        <w:rPr>
          <w:rFonts w:asciiTheme="minorHAnsi" w:eastAsia="TimesNewRomanPS" w:hAnsiTheme="minorHAnsi" w:cs="TimesNewRomanPS"/>
          <w:b/>
          <w:u w:val="single"/>
          <w:lang w:val="tr-TR"/>
        </w:rPr>
        <w:t>Civilizational Geopolitics: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In the late eighteenth century a civilizational geopolitics emerged as part of the reaction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to the struggle for stability in a Western Europe that had lost its cosmic centre based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on a common Christianity at the time of the Wars of Religion. This was an element in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what Toulmin (1990, 170) has termed the attempt at constructing ‘a more rational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Cosmopolis, to replace the one lost around 1600’. This version of the modern geopolitical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imagination peaked in influence in the first half of the nineteenth century. Before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that time, its various principles were not engaged with one another in a common whole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the way they were to be after 1815. The international political economy from 1815</w:t>
      </w:r>
    </w:p>
    <w:p w:rsid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until 1875 was characterized by a European Concert in which no one state ‘laid down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law’ for the others within Europe, and by an emerging British economic dominance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much of the rest of the world. The Concert was designed to limit the revolutionary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impulses emanating from the French Revolution of 1789 and its aftermath. </w:t>
      </w:r>
    </w:p>
    <w:p w:rsid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Wars to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foment revolution or to acquire territory were seen as threats to the balance of power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between the dominant states or Great Powers. At the same time, Britain’s head start in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econ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omic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growth as a result of its Industrial Revolution produced a different interaction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with the other continents as compared with that of the other European states (save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for the Netherlands). The search for markets for manufactured goods and the availability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capital for overseas investment produced pressures for external expansion (both colonial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more generally) that set Britain apart. As the rest of Europe became caught up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national economy making, a process largely completed in Britain, British businesses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political leaders created a worldwide network of trade and financial flows.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At this stage in the growth of world capitalism, British centrality was widely seen by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European political elites as serving not only a national interest but a global interest.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British national economy became the locomotive of the world economy. The recycling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capital from worldwide investments made London the world’s main financial centre.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main political interest of financial capital lay in preventing economic disruption in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places where it had investments. Not surprisingly, British governments also came to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value stability and often intervened militarily outside Europe when the status quo was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under threat. With the increasing economic success of the German and US economies,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however, the British economy, still largely committed to older technologies, was faced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with a dilemma. On the one hand, it was faced with increased competition in manufactured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goods and, on the other, it had a relative advantage over the others in its access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to the rest of the world. Consequently, after 1875 Britain turned away from Europe and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United States (where British capital had major investments) towards its empire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those world regions where its hegemony was apparently more secure. This gave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impetus to the final collapse of the Concert of Europe, already threatened by the emergence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new states in Europe (such as Germany and Italy) without any commitment to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it, and the emergence of a global system of competing empires as others, from Germany,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France, the United States and Japan, attempted to follow in Britain’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s footsteps. But it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was within Europe that the most important challenge of the age arose. The political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order of civilizational geopolitics was that defined by aristocratic and bourgeois elites.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its main features it was designed to tame and repress the nationalism generated by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French Revolution. But as the nineteenth century wore on, a new conception of statehood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based on the creation of nation-states came to the fore. These were states built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upon cultural divisions and particularities. In the identity of state with nation, territorial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sovereignty was fused with the fate of the nation. The interests of peoples were rigidly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territorialized as the number of states in Europe tripled. This new system of states had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no place for civilizational geopolitics.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It was in the political–economic context of 1815–75 that civilizational geopolitics was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most fully established, even though the principles it drew on had older roots, as described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previous chapters. Its main elements were a commitment to European uniqueness 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 civilization; a belief that the roots of European distinctiveness were found in its past;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 sense that though other cultures might have noble pasts with high achievements, they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had been eclipsed by Europe; and an increasing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lastRenderedPageBreak/>
        <w:t>identification with a particular nationstate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as representing the most perfected version of the European difference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.</w:t>
      </w:r>
    </w:p>
    <w:p w:rsidR="007D0CBF" w:rsidRPr="007D0CBF" w:rsidRDefault="007D0CBF" w:rsidP="007D0CBF">
      <w:pPr>
        <w:rPr>
          <w:rFonts w:asciiTheme="minorHAnsi" w:eastAsia="TimesNewRomanPS" w:hAnsiTheme="minorHAnsi" w:cs="TimesNewRomanPS"/>
          <w:sz w:val="22"/>
          <w:lang w:val="tr-TR"/>
        </w:rPr>
      </w:pP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anklinGothic-Demi"/>
          <w:b/>
          <w:u w:val="single"/>
          <w:lang w:val="tr-TR"/>
        </w:rPr>
      </w:pPr>
      <w:r w:rsidRPr="007D0CBF">
        <w:rPr>
          <w:rFonts w:asciiTheme="minorHAnsi" w:hAnsiTheme="minorHAnsi" w:cs="FranklinGothic-Demi"/>
          <w:b/>
          <w:u w:val="single"/>
          <w:lang w:val="tr-TR"/>
        </w:rPr>
        <w:t>Naturalized geopolitics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In cultural anthropology the idea of </w:t>
      </w:r>
      <w:r w:rsidRPr="007D0CBF">
        <w:rPr>
          <w:rFonts w:asciiTheme="minorHAnsi" w:hAnsiTheme="minorHAnsi" w:cs="TimesNewRomanPS-Italic"/>
          <w:i/>
          <w:iCs/>
          <w:sz w:val="22"/>
          <w:lang w:val="tr-TR"/>
        </w:rPr>
        <w:t xml:space="preserve">totemism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refers to the practice of interpreting nature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in the vocabulary of human groups, such as kinship and genealogy, whereas </w:t>
      </w:r>
      <w:r w:rsidRPr="007D0CBF">
        <w:rPr>
          <w:rFonts w:asciiTheme="minorHAnsi" w:hAnsiTheme="minorHAnsi" w:cs="TimesNewRomanPS-Italic"/>
          <w:i/>
          <w:iCs/>
          <w:sz w:val="22"/>
          <w:lang w:val="tr-TR"/>
        </w:rPr>
        <w:t>naturalization</w:t>
      </w:r>
      <w:r>
        <w:rPr>
          <w:rFonts w:asciiTheme="minorHAnsi" w:hAnsiTheme="minorHAnsi" w:cs="TimesNewRomanPS-Italic"/>
          <w:i/>
          <w:iCs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does the opposite. It represents the human entirely in terms of natural processes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phenomena. This is what happened to geopolitics from the late nineteenth century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down until the end of the Second World War, even though it had older roots (as indicated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previous chapters) and persisted in some respects thereafter (see the next section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on ideological geopolitics). Rather than being a feature of civilization, geopolitics was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now largely determined by the natural character of states that could be understood ‘scientifically’,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akin to the new understanding of biological processes that also marked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period. The understanding of states and the geograp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hical organization of the world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economy that this gave rise to underpinned the inter-imperial rivalry of the geopolitical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order from 1875 to 1945.</w:t>
      </w:r>
    </w:p>
    <w:p w:rsid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As the old Concert of Europe unravelled in the 1870s, two antagonistic groups of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states emerged. One, led by Britain and France (with covert US support), stood for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coexistence of open trade and imperialism. The other, headed by Germany, was revisionist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– concerned to build their own empires and challenge British financial dominance.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By the 1890s this division had become the major feature of world politics. Its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basis lay partly in the dramatic growth of the German economy but also partly in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intense nationalism of the period. National economy 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making through the extension of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national railway systems and the reorganization of economic space to accord greater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centrality to national markets and finance was combined with the spread of literacy in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vernacular languages and universal elementary education to produce an enhanced sense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national difference and exclusivity on the part of mass publics. Nationalism was no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longer just for elites. In imitation of one another and as an outlet for investment during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economic depression of 1883–96, a massive expansion of European empires brought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much of the world that had remained outside the reach of European imperialism into a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geographically specialized world economy. Different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world regions took their place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within a global division of labour, as plantation agriculture brought bananas to Central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America, tea to Ceylon (now Sri Lanka) and rubber to Malaya (Plate 6.3). The main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axis of capital accumulation lay in the home–colonies structure of the British Empire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the US–British relationship. The challenge for Germany and the other revisionists,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such as Italy and Japan, was to build an alternative to this structure. Ultimately that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proved impossible without taking on the British and their allies militarily. 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climax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arrived in 1914 when the alliance systems on either side of the inter-imperial rivalries</w:t>
      </w:r>
    </w:p>
    <w:p w:rsid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set in motion in the 1870s came to life in response to the seemingly minor conflict over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political status of Bosnia-Herzegovina.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apparently inexorable and inevitable slide into war associated with the First World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War was the outcome of a mindset on all sides that saw war as the only way out of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political–economic impasse into which they had all 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slipped. The conduct of the war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itself was also the outcome of a mentality in which the individual person had to sacrifice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for the good of the greater whole: the nation-state that defined the totality of one’s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identity. Humanity had lost control of its destiny. Nature ruled in affairs of state.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naturalized geopolitics characteristic of this epoch had a number of telltale features: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 world divided into imperial and colonized peoples, states with ‘biological needs’ for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territory/resources and outlets for enterprise, a ‘closed’ world in which one state’s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political–economic success was at another one’s expense (relative ascent and decline),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a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nd a world of fixed geographical attributes and environmental conditions that had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predictable effects on a state’s global status.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Naturalization had a number of preconditions. One was the (apparent) separation of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scientific claim from the subject position of the particular writer or politician. Claims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were made to universal knowledge that transcended any particular national, class, gender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or ethnic standpoint. So, even as a particular national interest was self-evidently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addressed, the act of doing so was framed by a perspective that put it into the realm of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nature rather than that of politics. A vital aspect of this, and another precondition for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naturalization, was the conviction that observation of the world’s political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lastRenderedPageBreak/>
        <w:t>and economic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divisions was a form of innocent perception from which generalizations about resources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power could be deduced. The pre-existing commit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ment to this view of perception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its associated mapping, naming, and citing of spaces as ‘colonial’, ‘European’,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‘powerful’ or ‘backward’ was not often acknowledged.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‘Scientifically’, in the empiricist sense of the term, the world beyond the immediately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familiar was blank and empty but was then filled and labelled according to its varying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natural attributes as they appeared from Europe. The world was then known and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possessed not just politically but epistemologically. This was the great achievement of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naturalization: to have depoliticized inter-imperial rivalry into a set of natural and determining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geographical ‘facts of life’. The invention of 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political geography during this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period is of a piece with this trend. On the one hand, the new field was openly touted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by its advocates as a way of educating both elites and national populations in the ways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which physical geography constrained and directed state formation and empire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building. On the other hand, it based its claims to seriousness on offering a perspective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that was useful primarily for the nation-states from which its advocates came. Thus,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Halford Mackinder provided a global geopolitical model (see Chapter 2) but was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concerned primarily about the implications of this model for the future of the British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Empire.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There were, of course, conservative, socialist and anarchist currents of thought that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tended to decry the emerging dominion of naturalized modes of thought and action. But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even they increasingly tended to flirt quite openly with claims to scientific status that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would put them beyond politics and into nature, so to speak. The voluntarist understandings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nationhood and class that had emanated from the American and French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Revolutions were increasingly marginalized. For example, the polemic of Ernest Renan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(1882) against the German ‘blood and soil’ conception of nation on behalf of a voluntarist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one (of choice or will) was rapidly eclipsed.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One of the most important elements in naturalized geopolitics was the distinction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between imperial and colonized peoples. Citizenship laws, classifications of colonies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(particularly between European settler colonies and others), religious missionary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activities and even the emerging division of labour between university subjects (e.g.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sociology versus anthropology) operated on this distinction. But this distinction was not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merely a recognition of necessity – a pragmatic response to an obvious spatial division.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Ironically, it rested on the view that (some) Europeans had become masters of nature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as a result of superior ‘fitness’ in a natural process of evolution. Transforming or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displacing more primitive peoples was justified because, as Charles Darwin (1839, 520),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one of the intellectual sources for this type of reasoning, had put it, ‘the varieties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man seem to act on each other in the same way as different species of animals –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stronger always extirpating the weak’.</w:t>
      </w:r>
    </w:p>
    <w:p w:rsidR="007D0CBF" w:rsidRPr="007D0CBF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In the United States in the 1880s, ‘scientific’ racial claims largely replaced providential/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civilizational ones as the basis for American 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estiny. Anglo-Saxons (and other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‘Teutons’) were identified as exemplars of superior evolutionary fitness. Their superior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political principles, growth in numbers, and economic power were evidence enough(notwithstanding contradictory evidence in the census of the United States, which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suggested the greater growth of other groups). One leading proponent of the fitness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argument saw an Anglo-Saxon future. ‘The day is at hand’, he wrote, ‘when four-fifths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of the human race will trace its pedigree to English for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efathers, as four-fifths of the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white people of the United States trace their pedigree today [1885]’ (quoted in Pratt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1935, 348).</w:t>
      </w:r>
    </w:p>
    <w:p w:rsidR="007D0CBF" w:rsidRPr="007D0CBF" w:rsidRDefault="009E50D8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Within Europe, Jews were especially vulnerable to the growth in ‘scientific’ racism.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Religious anti-Semitism had deep roots in Europe going back to the Middle Ages. But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not only did the nineteenth century bring rapid advancement to Jews as a group as they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moved out of ghettos into the wider society, but some non-Jewish groups ‘experienced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rootlessness, fragmentation, and estrangement from a once securely anchored, familiar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world’ (Barnouw 1990, 79). As a result, Jews became objects of hatred and fear from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those nostalgic for a world they had lost but without good prospects in the new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national–industrial society. Demagogues readily portrayed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Jews as rootless cosmopolitans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or allied with the nation’s enemies in a European world dividing into parochial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nation-states (Plate 6.4). There was no longer a space for ethnic and racial difference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within the boundaries of states. Jews were dangerous polluters of national homogeneity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and disrupted a presumed natural order in which racial groups and states are mutually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dependent. Every ‘race’ was seen as requiring its proper place. Jews were increasingly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portrayed in ‘racial’ terms.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 xml:space="preserve">The Nazi geopoliticians of the 1930s came up with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lastRenderedPageBreak/>
        <w:t>formalized schemes for combining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imperial and colonized peoples within what they called ‘pan-regions’. However fanciful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in terms of possibilities of overcoming the political–economic relationships of the time,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such mappings did express in extreme form the common assumption that the world was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constituted by racial groupings that could be neatly divided into two ‘types’ of peoples.</w:t>
      </w:r>
    </w:p>
    <w:p w:rsidR="007D0CBF" w:rsidRPr="007D0CBF" w:rsidRDefault="009E50D8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The one essentially existed to serve the other. Dominant and subordinate races were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joined together te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rritorially in the pan-regions.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FranklinGothic-Demi"/>
          <w:b/>
          <w:u w:val="single"/>
          <w:lang w:val="tr-TR"/>
        </w:rPr>
      </w:pPr>
      <w:r w:rsidRPr="007D0CBF">
        <w:rPr>
          <w:rFonts w:asciiTheme="minorHAnsi" w:hAnsiTheme="minorHAnsi" w:cs="FranklinGothic-Demi"/>
          <w:b/>
          <w:u w:val="single"/>
          <w:lang w:val="tr-TR"/>
        </w:rPr>
        <w:t>Ideological geopolitics</w:t>
      </w:r>
      <w:r>
        <w:rPr>
          <w:rFonts w:asciiTheme="minorHAnsi" w:hAnsiTheme="minorHAnsi" w:cs="FranklinGothic-Demi"/>
          <w:b/>
          <w:u w:val="single"/>
          <w:lang w:val="tr-TR"/>
        </w:rPr>
        <w:t>: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By definition, the modern geopolitical imagination is ideological, if ideology is defined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as an amalgam of ideas, symbols and strategies for promoting or changing a social and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cultural order – or, as the anthropologist Paul Friedrich (1989, 301) puts it, ‘political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ideas in action’. After the Second World War, however, the geopolitical imagination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was centred much more explicitly around competing conceptions of how best to organize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international political economy. Cold War geopolitics was ‘linguacultural’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(Friedrich’s term) more than civilizational or naturalized. By this I mean that the values,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myths and catchwords drawn from the experiences of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the two victorious states, the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United States and the Soviet Union, were to define and determine the terms of the geopolitical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imagination of the period. One of these, the United States, was to prove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more effective in gaining widespread acceptance for its model of political–economic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organization. But its success relied heavily on the active presence of the other as a point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comparison and threat.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The ideological character of the conflict defining the period needs emphasizing.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historian Anders Stephanson (1995, 123) has noted that this is largely why the Cold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 xml:space="preserve">War remained </w:t>
      </w:r>
      <w:r w:rsidRPr="007D0CBF">
        <w:rPr>
          <w:rFonts w:asciiTheme="minorHAnsi" w:hAnsiTheme="minorHAnsi" w:cs="TimesNewRomanPS-Italic"/>
          <w:i/>
          <w:iCs/>
          <w:sz w:val="22"/>
          <w:lang w:val="tr-TR"/>
        </w:rPr>
        <w:t>cold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. The spheres of influence established immediately after the Second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World War proved rather long-lasting because, given each side’s possession of nuclear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weapons that each could deliver to the homeland of the other, the party disturbing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status quo would face potentially devastating consequences. In response, the definition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ideologically opposite geopolitical zones put a premium on maintaining doctrinal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purity on both sides of the ‘fence’ that divided the two worlds.</w:t>
      </w:r>
    </w:p>
    <w:p w:rsidR="009E50D8" w:rsidRDefault="009E50D8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The recent invasion by Nazi Germany meant that a sense of threat was not difficult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to sell to the Soviet population. Associated with this sense of external danger was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an identification with regimes and revolutionary movements that were opposed to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US/Western model of economic development. On the US side the government set out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from 1944–47 onwards to sponsor an international order of economic liberalism in which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military expenditures would provide a protective apparatus for increased international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trade. This would in turn redound to the advantage of American businesses and stabilize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the American economy. The key in</w:t>
      </w:r>
      <w:r>
        <w:rPr>
          <w:rFonts w:asciiTheme="minorHAnsi" w:eastAsia="TimesNewRomanPS" w:hAnsiTheme="minorHAnsi" w:cs="TimesNewRomanPS"/>
          <w:sz w:val="22"/>
          <w:lang w:val="tr-TR"/>
        </w:rPr>
        <w:t>s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titutions and rules spread rapidly in the immediate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post-war period. All the major industrialized countries except the Soviet Union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accepted the rules of the international economic gam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e as written in Washington, DC,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either through external inducement (as with the aid from the 1947 Marshall Plan) and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coercion (as with the British dollar loan of 1946) or through direct intervention and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reconstruction under US auspices (as in West Germany and Japan). Many of the elements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of this system have lasted into the 1990s, although some faded away earlier. They are: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1 indirect stimulation of economic growth by means of fiscal and monetary policies;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2 commitment to a growing global marketplace based on a global division of labour;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3 accepting the dollar as the principal world currency;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4 hostility to Soviet-style economic planning;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5 assuming the burden of policing political cha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nges that could be construed as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damaging to the stability of the world economy.</w:t>
      </w:r>
    </w:p>
    <w:p w:rsidR="007D0CBF" w:rsidRPr="007D0CBF" w:rsidRDefault="009E50D8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In the end, domestic conditions in the two main states undermined the global status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of each. By the 1980s the Soviet economy had failed to deliver both improved military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equipment and improved living standards for the Soviet population as the Communist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Party and its leadership sank into complacency. For the United States, internationalization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was too successful. By the early 1970s the growth of other economies produced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pressures on the dollar and the drain of policing proved increasingly expensive.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Not simply international relations but also the economic and political arrangements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="007D0CBF" w:rsidRPr="007D0CBF">
        <w:rPr>
          <w:rFonts w:asciiTheme="minorHAnsi" w:eastAsia="TimesNewRomanPS" w:hAnsiTheme="minorHAnsi" w:cs="TimesNewRomanPS"/>
          <w:sz w:val="22"/>
          <w:lang w:val="tr-TR"/>
        </w:rPr>
        <w:t>of all of the world’s states beyond the Soviet sphere of influence (China for a few years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lastRenderedPageBreak/>
        <w:t>in the early 1950s, Eastern Europe until 1989) came under the spell of the US system.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 vital glue for this system was provided by the political–military conflict with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Soviet Union. Even during times of coexistence or detente, the overarching Cold War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conflict served both to tie such important states as Germany and Japan into the US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system and to define two geopolitical spheres of influence in which each generally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accepted the other’s dominance. This imposed a stability on world politics, since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United Sttes and the Soviet Union were the two principal holders of nuclear weapons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they could threaten to escalate conflicts if their ‘fundamental strategic interests’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were threatened, even as they promoted numerous ‘limited’ wars in the Third World of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former colonies where each armed surrogates or intervened themselves to prevent the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other from achieving a successful ‘conversion’. For all their political and economic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weaknesses, however, many Third World countries had to be wooed and cajoled. Unlike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the previous period, the world map was no longer a vacuum waiting to be filled by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 small number of competing Great Powers. The United States and the Soviet Union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remained attached to anti-colonial philosophies even as they engaged in imperial competition.</w:t>
      </w:r>
    </w:p>
    <w:p w:rsidR="007D0CBF" w:rsidRPr="007D0CBF" w:rsidRDefault="007D0CBF" w:rsidP="007D0CBF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7D0CBF">
        <w:rPr>
          <w:rFonts w:asciiTheme="minorHAnsi" w:eastAsia="TimesNewRomanPS" w:hAnsiTheme="minorHAnsi" w:cs="TimesNewRomanPS"/>
          <w:sz w:val="22"/>
          <w:lang w:val="tr-TR"/>
        </w:rPr>
        <w:t>They had to win friends and influence people to extend their spheres of influence;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they could no longer simply impose external rule.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 this setting, ideological geopolitics developed the following major characteristics: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 central systemic–ideological conflict over political–economic organization; ‘three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worlds’ of development in which US and Soviet spheres of influence vied for expansion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into a ‘Third World’ of former colonies and ‘non-aligned’ states; a homogenization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global space into ‘friendly’ and ‘threatening’ blocs in which universal models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of capitalism–liberal democracy and communism reigned free of geographical contingency;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and the naturalization of the ideological conflict by such key concepts as containment,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domino effects and hegemonic stability. Older themes from civilizational and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naturalized discourses were worked into the new discursive space. The two most important</w:t>
      </w:r>
      <w:r w:rsidR="009E50D8"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7D0CBF">
        <w:rPr>
          <w:rFonts w:asciiTheme="minorHAnsi" w:eastAsia="TimesNewRomanPS" w:hAnsiTheme="minorHAnsi" w:cs="TimesNewRomanPS"/>
          <w:sz w:val="22"/>
          <w:lang w:val="tr-TR"/>
        </w:rPr>
        <w:t>have been the backward versus modern polarity and the idea of ‘national security’.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The arrival of nuclear weapons (and long-distance delivery systems) led to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an American sense of connection to events elsewhere in the world, through the possibility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of escalation of local conflicts into a global nuclear one, that previously had been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missing. The long history of US territorial security has, however, perhaps left people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without much of a basis for judgement about external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threats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, even as the Soviet experience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of invasion and mass murder as recently as the Second World War provided a more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obvious basis for collective paranoia.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One important consequence of this shared sense of vulnerability was an idealization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by each of the other. Each became a super-potent adversary in the eyes of the other.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This is particularly obvious in the US case, where there was systematic exaggeration of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Soviet economic and military capabilities. For example, Holzman (1989) has shown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systematic exaggeration in official US estimates of Soviet military spending from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1960s to the 1980s. Gervasi (1988), in his annotated version of the Pentagon publication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Soviet Military Power, finds evidence of massive overstatement of Soviet military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capabilities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and we now know, after the collapse 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f the Soviet Union, that he was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absolutely correct. As late as 1988, US foreign policy was sti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ll based on the continuing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existence of a singular Soviet threat to the US position in the international political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economy. Even as the Soviet Union disintegrated in 1988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89, a group of leading US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experts on military and foreign affairs produced a report that assumed an indefinite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continuation of Cold War bipolarity. Though the economic problems of the United States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relating to huge trade and federal government deficits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were well known, it ignores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them. Instead, it engages in statistical and cartographic legerdemain to demonstrate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increased US vulnerability to the Soviet threat. It is no exaggeration to say that political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9E50D8">
        <w:rPr>
          <w:rFonts w:asciiTheme="minorHAnsi" w:eastAsia="TimesNewRomanPS" w:hAnsiTheme="minorHAnsi" w:cs="TimesNewRomanPS"/>
          <w:sz w:val="22"/>
          <w:lang w:val="tr-TR"/>
        </w:rPr>
        <w:t>elites in each country became so obsessed with each other that, as one of their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number put it, he hoped they would not appear to future historians as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two dinosaurs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circling one another in the sands of nuclear confrontation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(Gorbachev 1987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88, 494).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In the context of peculiar revolutionary states with quite different recipes for political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economic organization, abstract terms such as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communism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and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capitalism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took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on culturally loaded meanings. As the United States came to personify capitalism, so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did the Soviet Union represent communism. Each state became the geographical manifestation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of an abstract political economy. Each was foreign and dangerous to the other.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lastRenderedPageBreak/>
        <w:tab/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The constitutive divide in world affairs after the Second World War thus had specific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linguacultural roots that reduced communication to a repetition of buzzwords about 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the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nature of the other party.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9E50D8">
        <w:rPr>
          <w:rFonts w:asciiTheme="minorHAnsi" w:eastAsia="TimesNewRomanPS" w:hAnsiTheme="minorHAnsi" w:cs="TimesNewRomanPS"/>
          <w:sz w:val="22"/>
          <w:lang w:val="tr-TR"/>
        </w:rPr>
        <w:t>Joanne Sharp (2000) has shown that in the American case after the end of the US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–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Soviet wartime alliance a widely circulating magazine like the Reader’s Digest served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up a steady diet of articles by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experts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that created a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common-sense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knowledge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about the Soviet Union and the threat it posed to Americanness. Its readers were not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unprepared. The Digest had been worried about the Soviet Union since the early 1920s.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Now readers were bombarded with accounts of the total difference and opposing character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of the Soviet Union as compared with the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actually existing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United States, not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simply differences in aspiration or historical experience. Each was masqueraded as the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actual opposite of the other. Such representations had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powerful effects in mobilizing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public opinion into the Cold War consensus that progressively engulfed American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politics from 1947 until the Vietnam War of the late 1960s.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</w:p>
    <w:p w:rsidR="009E50D8" w:rsidRPr="009E50D8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>
        <w:rPr>
          <w:rFonts w:asciiTheme="minorHAnsi" w:eastAsia="TimesNewRomanPS" w:hAnsiTheme="minorHAnsi" w:cs="TimesNewRomanPS"/>
          <w:sz w:val="22"/>
          <w:lang w:val="tr-TR"/>
        </w:rPr>
        <w:tab/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Certain domestic interests were served by this geopolitical reductionism. Once under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way, this reinforced its pervasiveness. In the Soviet Union it disciplined potential dissidents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into support of a monolithic state apparatus. In the United States it produced a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consensus around a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politics of growth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, an enlarged military economy, and opposition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to any politics (usually construed as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socialist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or leftist because of associations between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socialism and the Soviet Union) that would subvert the country from within. In other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words, it eroded the possibility of an open, competitive democratic politics. The very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identity of being American became associated with a narrow political spectrum at home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and a virulently anti-socialist/anti-Soviet position (they were rarely distinguished)</w:t>
      </w:r>
    </w:p>
    <w:p w:rsidR="007D0CBF" w:rsidRPr="007D0CBF" w:rsidRDefault="009E50D8" w:rsidP="009E50D8">
      <w:pPr>
        <w:autoSpaceDE w:val="0"/>
        <w:autoSpaceDN w:val="0"/>
        <w:adjustRightInd w:val="0"/>
        <w:spacing w:after="0" w:line="240" w:lineRule="auto"/>
        <w:rPr>
          <w:rFonts w:asciiTheme="minorHAnsi" w:eastAsia="TimesNewRomanPS" w:hAnsiTheme="minorHAnsi" w:cs="TimesNewRomanPS"/>
          <w:sz w:val="22"/>
          <w:lang w:val="tr-TR"/>
        </w:rPr>
      </w:pP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abroad.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The simple story of a great struggle between a democratic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“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West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”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against a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formidable and expansionist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“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East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”’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became 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‘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the most influential and durable geopolitical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>script of [the Cold War] period</w:t>
      </w:r>
      <w:r w:rsidRPr="009E50D8">
        <w:rPr>
          <w:rFonts w:asciiTheme="minorHAnsi" w:eastAsia="TimesNewRomanPS" w:hAnsiTheme="minorHAnsi" w:cs="TimesNewRomanPS" w:hint="eastAsia"/>
          <w:sz w:val="22"/>
          <w:lang w:val="tr-TR"/>
        </w:rPr>
        <w:t>’</w:t>
      </w:r>
      <w:r w:rsidRPr="009E50D8">
        <w:rPr>
          <w:rFonts w:asciiTheme="minorHAnsi" w:eastAsia="TimesNewRomanPS" w:hAnsiTheme="minorHAnsi" w:cs="TimesNewRomanPS"/>
          <w:sz w:val="22"/>
          <w:lang w:val="tr-TR"/>
        </w:rPr>
        <w:t xml:space="preserve"> (O Tuathail and Agnew 1992, 190).</w:t>
      </w:r>
      <w:r>
        <w:rPr>
          <w:rFonts w:asciiTheme="minorHAnsi" w:eastAsia="TimesNewRomanPS" w:hAnsiTheme="minorHAnsi" w:cs="TimesNewRomanPS"/>
          <w:sz w:val="22"/>
          <w:lang w:val="tr-TR"/>
        </w:rPr>
        <w:t xml:space="preserve"> </w:t>
      </w:r>
      <w:bookmarkStart w:id="0" w:name="_GoBack"/>
      <w:bookmarkEnd w:id="0"/>
    </w:p>
    <w:sectPr w:rsidR="007D0CBF" w:rsidRPr="007D0CB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CFE" w:rsidRDefault="000A0CFE" w:rsidP="00A040A6">
      <w:pPr>
        <w:spacing w:after="0" w:line="240" w:lineRule="auto"/>
      </w:pPr>
      <w:r>
        <w:separator/>
      </w:r>
    </w:p>
  </w:endnote>
  <w:endnote w:type="continuationSeparator" w:id="0">
    <w:p w:rsidR="000A0CFE" w:rsidRDefault="000A0CFE" w:rsidP="00A0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Demi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CFE" w:rsidRDefault="000A0CFE" w:rsidP="00A040A6">
      <w:pPr>
        <w:spacing w:after="0" w:line="240" w:lineRule="auto"/>
      </w:pPr>
      <w:r>
        <w:separator/>
      </w:r>
    </w:p>
  </w:footnote>
  <w:footnote w:type="continuationSeparator" w:id="0">
    <w:p w:rsidR="000A0CFE" w:rsidRDefault="000A0CFE" w:rsidP="00A0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07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040A6" w:rsidRDefault="00A040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19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40A6" w:rsidRDefault="00A040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BF"/>
    <w:rsid w:val="000A0CFE"/>
    <w:rsid w:val="002C19DF"/>
    <w:rsid w:val="00336818"/>
    <w:rsid w:val="00456B44"/>
    <w:rsid w:val="005825DC"/>
    <w:rsid w:val="007D0CBF"/>
    <w:rsid w:val="00810614"/>
    <w:rsid w:val="009E50D8"/>
    <w:rsid w:val="009F51EB"/>
    <w:rsid w:val="00A040A6"/>
    <w:rsid w:val="00D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44"/>
    <w:pPr>
      <w:tabs>
        <w:tab w:val="left" w:pos="284"/>
      </w:tabs>
      <w:spacing w:after="20"/>
    </w:pPr>
    <w:rPr>
      <w:rFonts w:ascii="Garamond" w:hAnsi="Garamond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614"/>
    <w:rPr>
      <w:rFonts w:asciiTheme="majorHAnsi" w:eastAsiaTheme="majorEastAsia" w:hAnsiTheme="majorHAnsi" w:cstheme="majorBidi"/>
      <w:b/>
      <w:bCs/>
      <w:i/>
      <w:color w:val="000000" w:themeColor="text1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40A6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A6"/>
    <w:rPr>
      <w:rFonts w:ascii="Garamond" w:hAnsi="Garamond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0A6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A6"/>
    <w:rPr>
      <w:rFonts w:ascii="Garamond" w:hAnsi="Garamond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B44"/>
    <w:pPr>
      <w:tabs>
        <w:tab w:val="left" w:pos="284"/>
      </w:tabs>
      <w:spacing w:after="20"/>
    </w:pPr>
    <w:rPr>
      <w:rFonts w:ascii="Garamond" w:hAnsi="Garamond"/>
      <w:sz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06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i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10614"/>
    <w:rPr>
      <w:rFonts w:asciiTheme="majorHAnsi" w:eastAsiaTheme="majorEastAsia" w:hAnsiTheme="majorHAnsi" w:cstheme="majorBidi"/>
      <w:b/>
      <w:bCs/>
      <w:i/>
      <w:color w:val="000000" w:themeColor="text1"/>
      <w:szCs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040A6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A6"/>
    <w:rPr>
      <w:rFonts w:ascii="Garamond" w:hAnsi="Garamond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040A6"/>
    <w:pPr>
      <w:tabs>
        <w:tab w:val="clear" w:pos="284"/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A6"/>
    <w:rPr>
      <w:rFonts w:ascii="Garamond" w:hAnsi="Garamond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3875</Words>
  <Characters>22090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karadeli</dc:creator>
  <cp:lastModifiedBy>karadeli</cp:lastModifiedBy>
  <cp:revision>4</cp:revision>
  <cp:lastPrinted>2014-03-18T08:57:00Z</cp:lastPrinted>
  <dcterms:created xsi:type="dcterms:W3CDTF">2014-03-18T08:35:00Z</dcterms:created>
  <dcterms:modified xsi:type="dcterms:W3CDTF">2014-03-18T08:57:00Z</dcterms:modified>
</cp:coreProperties>
</file>